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C" w:rsidRDefault="000C5F18">
      <w:pPr>
        <w:rPr>
          <w:rFonts w:ascii="Arial" w:hAnsi="Arial" w:cs="Arial"/>
        </w:rPr>
      </w:pPr>
      <w:bookmarkStart w:id="0" w:name="_GoBack"/>
      <w:bookmarkEnd w:id="0"/>
      <w:r>
        <w:rPr>
          <w:rFonts w:ascii="Arial" w:hAnsi="Arial" w:cs="Arial"/>
        </w:rPr>
        <w:t xml:space="preserve">Appendix 1: Social prescribing models </w:t>
      </w:r>
    </w:p>
    <w:tbl>
      <w:tblPr>
        <w:tblStyle w:val="TableGrid"/>
        <w:tblW w:w="0" w:type="auto"/>
        <w:tblLook w:val="04A0" w:firstRow="1" w:lastRow="0" w:firstColumn="1" w:lastColumn="0" w:noHBand="0" w:noVBand="1"/>
      </w:tblPr>
      <w:tblGrid>
        <w:gridCol w:w="3227"/>
        <w:gridCol w:w="2693"/>
        <w:gridCol w:w="8254"/>
      </w:tblGrid>
      <w:tr w:rsidR="008432B8" w:rsidTr="008432B8">
        <w:tc>
          <w:tcPr>
            <w:tcW w:w="3227" w:type="dxa"/>
          </w:tcPr>
          <w:p w:rsidR="008432B8" w:rsidRDefault="000C5F18">
            <w:pPr>
              <w:rPr>
                <w:rFonts w:ascii="Arial" w:hAnsi="Arial" w:cs="Arial"/>
              </w:rPr>
            </w:pPr>
            <w:r>
              <w:rPr>
                <w:rFonts w:ascii="Arial" w:hAnsi="Arial" w:cs="Arial"/>
              </w:rPr>
              <w:t>Area</w:t>
            </w:r>
          </w:p>
        </w:tc>
        <w:tc>
          <w:tcPr>
            <w:tcW w:w="2693" w:type="dxa"/>
          </w:tcPr>
          <w:p w:rsidR="008432B8" w:rsidRDefault="000C5F18">
            <w:pPr>
              <w:rPr>
                <w:rFonts w:ascii="Arial" w:hAnsi="Arial" w:cs="Arial"/>
              </w:rPr>
            </w:pPr>
            <w:r>
              <w:rPr>
                <w:rFonts w:ascii="Arial" w:hAnsi="Arial" w:cs="Arial"/>
              </w:rPr>
              <w:t>How it is run</w:t>
            </w:r>
          </w:p>
        </w:tc>
        <w:tc>
          <w:tcPr>
            <w:tcW w:w="8254" w:type="dxa"/>
          </w:tcPr>
          <w:p w:rsidR="008432B8" w:rsidRDefault="000C5F18">
            <w:pPr>
              <w:rPr>
                <w:rFonts w:ascii="Arial" w:hAnsi="Arial" w:cs="Arial"/>
              </w:rPr>
            </w:pPr>
            <w:r>
              <w:rPr>
                <w:rFonts w:ascii="Arial" w:hAnsi="Arial" w:cs="Arial"/>
              </w:rPr>
              <w:t xml:space="preserve">Description on offer </w:t>
            </w:r>
          </w:p>
        </w:tc>
      </w:tr>
      <w:tr w:rsidR="008432B8" w:rsidTr="008432B8">
        <w:tc>
          <w:tcPr>
            <w:tcW w:w="3227" w:type="dxa"/>
          </w:tcPr>
          <w:p w:rsidR="008432B8" w:rsidRPr="00814282" w:rsidRDefault="008432B8">
            <w:pPr>
              <w:rPr>
                <w:rFonts w:ascii="Arial" w:hAnsi="Arial" w:cs="Arial"/>
                <w:sz w:val="20"/>
                <w:szCs w:val="20"/>
              </w:rPr>
            </w:pPr>
            <w:r w:rsidRPr="00814282">
              <w:rPr>
                <w:rFonts w:ascii="Arial" w:hAnsi="Arial" w:cs="Arial"/>
                <w:sz w:val="20"/>
                <w:szCs w:val="20"/>
              </w:rPr>
              <w:t xml:space="preserve">Culm Valley Integrated Centre For Health Social prescribing model </w:t>
            </w:r>
          </w:p>
        </w:tc>
        <w:tc>
          <w:tcPr>
            <w:tcW w:w="2693" w:type="dxa"/>
          </w:tcPr>
          <w:p w:rsidR="008432B8" w:rsidRPr="00814282" w:rsidRDefault="008432B8">
            <w:pPr>
              <w:rPr>
                <w:rFonts w:ascii="Arial" w:hAnsi="Arial" w:cs="Arial"/>
                <w:sz w:val="20"/>
                <w:szCs w:val="20"/>
              </w:rPr>
            </w:pPr>
            <w:r w:rsidRPr="00814282">
              <w:rPr>
                <w:rFonts w:ascii="Arial" w:hAnsi="Arial" w:cs="Arial"/>
                <w:sz w:val="20"/>
                <w:szCs w:val="20"/>
              </w:rPr>
              <w:t>Health Facilitator with training in motivational skills</w:t>
            </w:r>
          </w:p>
        </w:tc>
        <w:tc>
          <w:tcPr>
            <w:tcW w:w="8254" w:type="dxa"/>
          </w:tcPr>
          <w:p w:rsidR="008432B8" w:rsidRPr="008432B8" w:rsidRDefault="008432B8" w:rsidP="008432B8">
            <w:pPr>
              <w:pStyle w:val="ListParagraph"/>
              <w:numPr>
                <w:ilvl w:val="0"/>
                <w:numId w:val="3"/>
              </w:numPr>
              <w:rPr>
                <w:rFonts w:ascii="Arial" w:hAnsi="Arial" w:cs="Arial"/>
                <w:color w:val="000000" w:themeColor="text1"/>
                <w:sz w:val="20"/>
                <w:szCs w:val="20"/>
              </w:rPr>
            </w:pPr>
            <w:r w:rsidRPr="008432B8">
              <w:rPr>
                <w:rFonts w:ascii="Arial" w:hAnsi="Arial" w:cs="Arial"/>
                <w:color w:val="000000" w:themeColor="text1"/>
                <w:sz w:val="20"/>
                <w:szCs w:val="20"/>
              </w:rPr>
              <w:t>Being a face to face health resource for patients referred by other professionals (particularly GPs) and self-referred</w:t>
            </w:r>
          </w:p>
          <w:p w:rsidR="008432B8" w:rsidRPr="008432B8" w:rsidRDefault="008432B8" w:rsidP="008432B8">
            <w:pPr>
              <w:pStyle w:val="ListParagraph"/>
              <w:numPr>
                <w:ilvl w:val="0"/>
                <w:numId w:val="3"/>
              </w:numPr>
              <w:rPr>
                <w:rFonts w:ascii="Arial" w:hAnsi="Arial" w:cs="Arial"/>
                <w:color w:val="000000" w:themeColor="text1"/>
                <w:sz w:val="20"/>
                <w:szCs w:val="20"/>
              </w:rPr>
            </w:pPr>
            <w:r w:rsidRPr="008432B8">
              <w:rPr>
                <w:rFonts w:ascii="Arial" w:hAnsi="Arial" w:cs="Arial"/>
                <w:color w:val="000000" w:themeColor="text1"/>
                <w:sz w:val="20"/>
                <w:szCs w:val="20"/>
              </w:rPr>
              <w:t xml:space="preserve">Provides  advice on exercise, nutrition </w:t>
            </w:r>
            <w:proofErr w:type="spellStart"/>
            <w:r w:rsidRPr="008432B8">
              <w:rPr>
                <w:rFonts w:ascii="Arial" w:hAnsi="Arial" w:cs="Arial"/>
                <w:color w:val="000000" w:themeColor="text1"/>
                <w:sz w:val="20"/>
                <w:szCs w:val="20"/>
              </w:rPr>
              <w:t>etc</w:t>
            </w:r>
            <w:proofErr w:type="spellEnd"/>
            <w:r w:rsidRPr="008432B8">
              <w:rPr>
                <w:rFonts w:ascii="Arial" w:hAnsi="Arial" w:cs="Arial"/>
                <w:color w:val="000000" w:themeColor="text1"/>
                <w:sz w:val="20"/>
                <w:szCs w:val="20"/>
              </w:rPr>
              <w:t>…, demonstrate means of self-care such as  the free on line Thought Field Therapy programme (rather like CBT) and signpost to voluntary organisations or self-help groups</w:t>
            </w:r>
          </w:p>
          <w:p w:rsidR="008432B8" w:rsidRPr="008432B8" w:rsidRDefault="008432B8" w:rsidP="008432B8">
            <w:pPr>
              <w:pStyle w:val="ListParagraph"/>
              <w:numPr>
                <w:ilvl w:val="0"/>
                <w:numId w:val="3"/>
              </w:numPr>
              <w:rPr>
                <w:rFonts w:ascii="Arial" w:hAnsi="Arial" w:cs="Arial"/>
                <w:color w:val="000000" w:themeColor="text1"/>
                <w:sz w:val="20"/>
                <w:szCs w:val="20"/>
              </w:rPr>
            </w:pPr>
            <w:r w:rsidRPr="008432B8">
              <w:rPr>
                <w:rFonts w:ascii="Arial" w:hAnsi="Arial" w:cs="Arial"/>
                <w:color w:val="000000" w:themeColor="text1"/>
                <w:sz w:val="20"/>
                <w:szCs w:val="20"/>
              </w:rPr>
              <w:t>Acts as catalyst for these self-help/self-care groups, which includes groups for:-</w:t>
            </w:r>
          </w:p>
          <w:p w:rsidR="008432B8" w:rsidRPr="008432B8" w:rsidRDefault="008432B8" w:rsidP="008432B8">
            <w:pPr>
              <w:pStyle w:val="ListParagraph"/>
              <w:numPr>
                <w:ilvl w:val="1"/>
                <w:numId w:val="2"/>
              </w:numPr>
              <w:rPr>
                <w:rFonts w:ascii="Arial" w:hAnsi="Arial" w:cs="Arial"/>
                <w:color w:val="000000" w:themeColor="text1"/>
                <w:sz w:val="20"/>
                <w:szCs w:val="20"/>
              </w:rPr>
            </w:pPr>
            <w:r w:rsidRPr="008432B8">
              <w:rPr>
                <w:rFonts w:ascii="Arial" w:hAnsi="Arial" w:cs="Arial"/>
                <w:color w:val="000000" w:themeColor="text1"/>
                <w:sz w:val="20"/>
                <w:szCs w:val="20"/>
              </w:rPr>
              <w:t>Specific disease areas - e.g. patients with heart disease, diabetes and fibromyalgia.</w:t>
            </w:r>
          </w:p>
          <w:p w:rsidR="008432B8" w:rsidRPr="008432B8" w:rsidRDefault="008432B8" w:rsidP="008432B8">
            <w:pPr>
              <w:pStyle w:val="ListParagraph"/>
              <w:numPr>
                <w:ilvl w:val="1"/>
                <w:numId w:val="2"/>
              </w:numPr>
              <w:rPr>
                <w:rFonts w:ascii="Arial" w:hAnsi="Arial" w:cs="Arial"/>
                <w:color w:val="000000" w:themeColor="text1"/>
                <w:sz w:val="20"/>
                <w:szCs w:val="20"/>
              </w:rPr>
            </w:pPr>
            <w:r w:rsidRPr="008432B8">
              <w:rPr>
                <w:rFonts w:ascii="Arial" w:hAnsi="Arial" w:cs="Arial"/>
                <w:color w:val="000000" w:themeColor="text1"/>
                <w:sz w:val="20"/>
                <w:szCs w:val="20"/>
              </w:rPr>
              <w:t>Specific needs - e.g. “Knit and Natter” group for the socially isolated, Creative writing, printing and book reading groups for patients needing directed activity/socialisation.</w:t>
            </w:r>
          </w:p>
          <w:p w:rsidR="008432B8" w:rsidRPr="008432B8" w:rsidRDefault="008432B8" w:rsidP="008432B8">
            <w:pPr>
              <w:pStyle w:val="ListParagraph"/>
              <w:numPr>
                <w:ilvl w:val="1"/>
                <w:numId w:val="2"/>
              </w:numPr>
              <w:rPr>
                <w:rFonts w:ascii="Arial" w:hAnsi="Arial" w:cs="Arial"/>
                <w:color w:val="000000" w:themeColor="text1"/>
                <w:sz w:val="20"/>
                <w:szCs w:val="20"/>
              </w:rPr>
            </w:pPr>
            <w:r w:rsidRPr="008432B8">
              <w:rPr>
                <w:rFonts w:ascii="Arial" w:hAnsi="Arial" w:cs="Arial"/>
                <w:color w:val="000000" w:themeColor="text1"/>
                <w:sz w:val="20"/>
                <w:szCs w:val="20"/>
              </w:rPr>
              <w:t>Specific form of activity, often led by patients themselves, such as the Amblers Walking Group and Community Gardening Group.</w:t>
            </w:r>
          </w:p>
          <w:p w:rsidR="008432B8" w:rsidRPr="008432B8" w:rsidRDefault="008432B8" w:rsidP="008432B8">
            <w:pPr>
              <w:pStyle w:val="ListParagraph"/>
              <w:numPr>
                <w:ilvl w:val="0"/>
                <w:numId w:val="2"/>
              </w:numPr>
              <w:rPr>
                <w:rFonts w:ascii="Arial" w:hAnsi="Arial" w:cs="Arial"/>
                <w:color w:val="000000" w:themeColor="text1"/>
                <w:sz w:val="20"/>
                <w:szCs w:val="20"/>
              </w:rPr>
            </w:pPr>
            <w:r w:rsidRPr="008432B8">
              <w:rPr>
                <w:rFonts w:ascii="Arial" w:hAnsi="Arial" w:cs="Arial"/>
                <w:color w:val="000000" w:themeColor="text1"/>
                <w:sz w:val="20"/>
                <w:szCs w:val="20"/>
              </w:rPr>
              <w:t>Acts as the interface between local voluntary statutory agencies and individual patients and the surgery itself.  This includes awareness of all local voluntary and statutory agencies, directing individual patients to them as necessary and working with individuals involved in them</w:t>
            </w:r>
          </w:p>
          <w:p w:rsidR="008432B8" w:rsidRPr="008432B8" w:rsidRDefault="008432B8" w:rsidP="008432B8">
            <w:pPr>
              <w:pStyle w:val="ListParagraph"/>
              <w:numPr>
                <w:ilvl w:val="0"/>
                <w:numId w:val="2"/>
              </w:numPr>
              <w:rPr>
                <w:rFonts w:ascii="Arial" w:hAnsi="Arial" w:cs="Arial"/>
                <w:color w:val="000000" w:themeColor="text1"/>
              </w:rPr>
            </w:pPr>
            <w:r w:rsidRPr="008432B8">
              <w:rPr>
                <w:rFonts w:ascii="Arial" w:hAnsi="Arial" w:cs="Arial"/>
                <w:color w:val="000000" w:themeColor="text1"/>
                <w:sz w:val="20"/>
                <w:szCs w:val="20"/>
              </w:rPr>
              <w:t>Acts as the “face” of health promotion at the surgery/Integrated Centre with a room marked “Health Facilitator”, wearing an appropriate badge and being very much part of the “scenery” in the waiting room, café and other public areas of the Integrated Centre with advertised and availability in the waiting room and café.  Her presence together with a range of self-care activities in the surgery (e.g. patients measure their own blood pressure/weight/BMI on an automated machine and can directly access Calm Zone – thought field therapy) extends the message and ethos of self-care to patients visiting the surgery (90% of registered patients will visit the Centre during the year) and community</w:t>
            </w:r>
          </w:p>
        </w:tc>
      </w:tr>
      <w:tr w:rsidR="008432B8" w:rsidTr="008432B8">
        <w:tc>
          <w:tcPr>
            <w:tcW w:w="3227" w:type="dxa"/>
          </w:tcPr>
          <w:p w:rsidR="008432B8" w:rsidRPr="00814282" w:rsidRDefault="008432B8">
            <w:pPr>
              <w:rPr>
                <w:rFonts w:ascii="Arial" w:hAnsi="Arial" w:cs="Arial"/>
                <w:sz w:val="20"/>
                <w:szCs w:val="20"/>
              </w:rPr>
            </w:pPr>
            <w:r w:rsidRPr="00814282">
              <w:rPr>
                <w:rFonts w:ascii="Arial" w:hAnsi="Arial" w:cs="Arial"/>
                <w:sz w:val="20"/>
                <w:szCs w:val="20"/>
              </w:rPr>
              <w:t xml:space="preserve">Way to Wellness </w:t>
            </w:r>
          </w:p>
        </w:tc>
        <w:tc>
          <w:tcPr>
            <w:tcW w:w="2693" w:type="dxa"/>
          </w:tcPr>
          <w:p w:rsidR="008432B8" w:rsidRPr="00814282" w:rsidRDefault="008432B8">
            <w:pPr>
              <w:rPr>
                <w:rFonts w:ascii="Arial" w:hAnsi="Arial" w:cs="Arial"/>
                <w:sz w:val="20"/>
                <w:szCs w:val="20"/>
              </w:rPr>
            </w:pPr>
            <w:r w:rsidRPr="00814282">
              <w:rPr>
                <w:rFonts w:ascii="Arial" w:hAnsi="Arial" w:cs="Arial"/>
                <w:sz w:val="20"/>
                <w:szCs w:val="20"/>
              </w:rPr>
              <w:t xml:space="preserve">Ways to Wellness holds the contract for developing the offer for and contracts for </w:t>
            </w:r>
            <w:r w:rsidRPr="00814282">
              <w:rPr>
                <w:rFonts w:ascii="Arial" w:hAnsi="Arial" w:cs="Arial"/>
                <w:sz w:val="20"/>
                <w:szCs w:val="20"/>
              </w:rPr>
              <w:lastRenderedPageBreak/>
              <w:t xml:space="preserve">social activities, training for link workers and raises funds and contracts with social investors and manages the referrals and data </w:t>
            </w:r>
          </w:p>
        </w:tc>
        <w:tc>
          <w:tcPr>
            <w:tcW w:w="8254" w:type="dxa"/>
          </w:tcPr>
          <w:p w:rsidR="008432B8" w:rsidRPr="00D43587" w:rsidRDefault="008432B8" w:rsidP="008432B8">
            <w:pPr>
              <w:rPr>
                <w:rFonts w:ascii="Arial" w:hAnsi="Arial" w:cs="Arial"/>
                <w:sz w:val="20"/>
                <w:szCs w:val="20"/>
                <w:lang w:val="en"/>
              </w:rPr>
            </w:pPr>
            <w:r w:rsidRPr="00D43587">
              <w:rPr>
                <w:rFonts w:ascii="Arial" w:hAnsi="Arial" w:cs="Arial"/>
                <w:sz w:val="20"/>
                <w:szCs w:val="20"/>
                <w:lang w:val="en"/>
              </w:rPr>
              <w:lastRenderedPageBreak/>
              <w:t xml:space="preserve">Ways to Wellness is for people with certain long-term health conditions, aged 40 to 74, who attend GP practices within the pre-existing NHS Newcastle West Clinical </w:t>
            </w:r>
            <w:r w:rsidRPr="00D43587">
              <w:rPr>
                <w:rFonts w:ascii="Arial" w:hAnsi="Arial" w:cs="Arial"/>
                <w:sz w:val="20"/>
                <w:szCs w:val="20"/>
                <w:lang w:val="en"/>
              </w:rPr>
              <w:lastRenderedPageBreak/>
              <w:t xml:space="preserve">Commissioning Group area (now part of Newcastle </w:t>
            </w:r>
            <w:proofErr w:type="spellStart"/>
            <w:r w:rsidRPr="00D43587">
              <w:rPr>
                <w:rFonts w:ascii="Arial" w:hAnsi="Arial" w:cs="Arial"/>
                <w:sz w:val="20"/>
                <w:szCs w:val="20"/>
                <w:lang w:val="en"/>
              </w:rPr>
              <w:t>Gateshead</w:t>
            </w:r>
            <w:proofErr w:type="spellEnd"/>
            <w:r w:rsidRPr="00D43587">
              <w:rPr>
                <w:rFonts w:ascii="Arial" w:hAnsi="Arial" w:cs="Arial"/>
                <w:sz w:val="20"/>
                <w:szCs w:val="20"/>
                <w:lang w:val="en"/>
              </w:rPr>
              <w:t xml:space="preserve"> CCG).</w:t>
            </w:r>
          </w:p>
          <w:p w:rsidR="008432B8" w:rsidRPr="00D43587" w:rsidRDefault="008432B8" w:rsidP="008432B8">
            <w:pPr>
              <w:rPr>
                <w:rFonts w:ascii="Arial" w:hAnsi="Arial" w:cs="Arial"/>
                <w:sz w:val="20"/>
                <w:szCs w:val="20"/>
                <w:lang w:val="en"/>
              </w:rPr>
            </w:pPr>
            <w:r w:rsidRPr="00D43587">
              <w:rPr>
                <w:rFonts w:ascii="Arial" w:hAnsi="Arial" w:cs="Arial"/>
                <w:sz w:val="20"/>
                <w:szCs w:val="20"/>
                <w:lang w:val="en"/>
              </w:rPr>
              <w:t>The eligible long-term health conditions are:</w:t>
            </w:r>
          </w:p>
          <w:p w:rsidR="008432B8" w:rsidRPr="00D43587" w:rsidRDefault="008432B8" w:rsidP="00D43587">
            <w:pPr>
              <w:numPr>
                <w:ilvl w:val="0"/>
                <w:numId w:val="4"/>
              </w:numPr>
              <w:spacing w:after="0"/>
              <w:rPr>
                <w:rFonts w:ascii="Arial" w:hAnsi="Arial" w:cs="Arial"/>
                <w:sz w:val="20"/>
                <w:szCs w:val="20"/>
                <w:lang w:val="en"/>
              </w:rPr>
            </w:pPr>
            <w:r w:rsidRPr="00D43587">
              <w:rPr>
                <w:rFonts w:ascii="Arial" w:hAnsi="Arial" w:cs="Arial"/>
                <w:sz w:val="20"/>
                <w:szCs w:val="20"/>
                <w:lang w:val="en"/>
              </w:rPr>
              <w:t>Chronic breathing difficulties (COPD) or Asthma</w:t>
            </w:r>
          </w:p>
          <w:p w:rsidR="008432B8" w:rsidRPr="00D43587" w:rsidRDefault="008432B8" w:rsidP="00D43587">
            <w:pPr>
              <w:numPr>
                <w:ilvl w:val="0"/>
                <w:numId w:val="4"/>
              </w:numPr>
              <w:spacing w:after="0"/>
              <w:rPr>
                <w:rFonts w:ascii="Arial" w:hAnsi="Arial" w:cs="Arial"/>
                <w:sz w:val="20"/>
                <w:szCs w:val="20"/>
                <w:lang w:val="en"/>
              </w:rPr>
            </w:pPr>
            <w:r w:rsidRPr="00D43587">
              <w:rPr>
                <w:rFonts w:ascii="Arial" w:hAnsi="Arial" w:cs="Arial"/>
                <w:sz w:val="20"/>
                <w:szCs w:val="20"/>
                <w:lang w:val="en"/>
              </w:rPr>
              <w:t>Diabetes (Type 1 or Type 2)</w:t>
            </w:r>
          </w:p>
          <w:p w:rsidR="008432B8" w:rsidRPr="00D43587" w:rsidRDefault="008432B8" w:rsidP="00D43587">
            <w:pPr>
              <w:numPr>
                <w:ilvl w:val="0"/>
                <w:numId w:val="4"/>
              </w:numPr>
              <w:spacing w:after="0"/>
              <w:rPr>
                <w:rFonts w:ascii="Arial" w:hAnsi="Arial" w:cs="Arial"/>
                <w:sz w:val="20"/>
                <w:szCs w:val="20"/>
                <w:lang w:val="en"/>
              </w:rPr>
            </w:pPr>
            <w:r w:rsidRPr="00D43587">
              <w:rPr>
                <w:rFonts w:ascii="Arial" w:hAnsi="Arial" w:cs="Arial"/>
                <w:sz w:val="20"/>
                <w:szCs w:val="20"/>
                <w:lang w:val="en"/>
              </w:rPr>
              <w:t>Heart Disease</w:t>
            </w:r>
          </w:p>
          <w:p w:rsidR="008432B8" w:rsidRPr="00D43587" w:rsidRDefault="008432B8" w:rsidP="00D43587">
            <w:pPr>
              <w:numPr>
                <w:ilvl w:val="0"/>
                <w:numId w:val="4"/>
              </w:numPr>
              <w:spacing w:after="0"/>
              <w:rPr>
                <w:rFonts w:ascii="Arial" w:hAnsi="Arial" w:cs="Arial"/>
                <w:sz w:val="20"/>
                <w:szCs w:val="20"/>
                <w:lang w:val="en"/>
              </w:rPr>
            </w:pPr>
            <w:r w:rsidRPr="00D43587">
              <w:rPr>
                <w:rFonts w:ascii="Arial" w:hAnsi="Arial" w:cs="Arial"/>
                <w:sz w:val="20"/>
                <w:szCs w:val="20"/>
                <w:lang w:val="en"/>
              </w:rPr>
              <w:t>Epilepsy</w:t>
            </w:r>
          </w:p>
          <w:p w:rsidR="008432B8" w:rsidRPr="00D43587" w:rsidRDefault="008432B8" w:rsidP="00D43587">
            <w:pPr>
              <w:numPr>
                <w:ilvl w:val="0"/>
                <w:numId w:val="4"/>
              </w:numPr>
              <w:spacing w:after="0"/>
              <w:rPr>
                <w:rFonts w:ascii="Arial" w:hAnsi="Arial" w:cs="Arial"/>
                <w:sz w:val="20"/>
                <w:szCs w:val="20"/>
                <w:lang w:val="en"/>
              </w:rPr>
            </w:pPr>
            <w:r w:rsidRPr="00D43587">
              <w:rPr>
                <w:rFonts w:ascii="Arial" w:hAnsi="Arial" w:cs="Arial"/>
                <w:sz w:val="20"/>
                <w:szCs w:val="20"/>
                <w:lang w:val="en"/>
              </w:rPr>
              <w:t>Thinning of the bones (osteoporosis)</w:t>
            </w:r>
          </w:p>
          <w:p w:rsidR="008432B8" w:rsidRPr="00D43587" w:rsidRDefault="008432B8" w:rsidP="00D43587">
            <w:pPr>
              <w:numPr>
                <w:ilvl w:val="0"/>
                <w:numId w:val="4"/>
              </w:numPr>
              <w:spacing w:after="0"/>
              <w:rPr>
                <w:rFonts w:ascii="Arial" w:hAnsi="Arial" w:cs="Arial"/>
                <w:sz w:val="20"/>
                <w:szCs w:val="20"/>
                <w:lang w:val="en"/>
              </w:rPr>
            </w:pPr>
            <w:r w:rsidRPr="00D43587">
              <w:rPr>
                <w:rFonts w:ascii="Arial" w:hAnsi="Arial" w:cs="Arial"/>
                <w:sz w:val="20"/>
                <w:szCs w:val="20"/>
                <w:lang w:val="en"/>
              </w:rPr>
              <w:t>Any of the above with depression and/or anxiety</w:t>
            </w:r>
          </w:p>
          <w:p w:rsidR="008432B8" w:rsidRDefault="008432B8">
            <w:pPr>
              <w:rPr>
                <w:rFonts w:ascii="Arial" w:hAnsi="Arial" w:cs="Arial"/>
              </w:rPr>
            </w:pPr>
          </w:p>
        </w:tc>
      </w:tr>
      <w:tr w:rsidR="008432B8" w:rsidTr="008432B8">
        <w:tc>
          <w:tcPr>
            <w:tcW w:w="3227" w:type="dxa"/>
          </w:tcPr>
          <w:p w:rsidR="008432B8" w:rsidRPr="00814282" w:rsidRDefault="00D406C7">
            <w:pPr>
              <w:rPr>
                <w:rFonts w:ascii="Arial" w:hAnsi="Arial" w:cs="Arial"/>
                <w:sz w:val="20"/>
                <w:szCs w:val="20"/>
              </w:rPr>
            </w:pPr>
            <w:r w:rsidRPr="00814282">
              <w:rPr>
                <w:rFonts w:ascii="Arial" w:hAnsi="Arial" w:cs="Arial"/>
                <w:sz w:val="20"/>
                <w:szCs w:val="20"/>
              </w:rPr>
              <w:lastRenderedPageBreak/>
              <w:t xml:space="preserve">East Riding of Yorkshire </w:t>
            </w:r>
          </w:p>
        </w:tc>
        <w:tc>
          <w:tcPr>
            <w:tcW w:w="2693" w:type="dxa"/>
          </w:tcPr>
          <w:p w:rsidR="008432B8" w:rsidRPr="00814282" w:rsidRDefault="00D406C7">
            <w:pPr>
              <w:rPr>
                <w:rFonts w:ascii="Arial" w:hAnsi="Arial" w:cs="Arial"/>
                <w:sz w:val="20"/>
                <w:szCs w:val="20"/>
              </w:rPr>
            </w:pPr>
            <w:r w:rsidRPr="00814282">
              <w:rPr>
                <w:rFonts w:ascii="Arial" w:hAnsi="Arial" w:cs="Arial"/>
                <w:sz w:val="20"/>
                <w:szCs w:val="20"/>
              </w:rPr>
              <w:t xml:space="preserve">The Council has developed partnership with local GPs and leisure services and libraries </w:t>
            </w:r>
          </w:p>
        </w:tc>
        <w:tc>
          <w:tcPr>
            <w:tcW w:w="8254" w:type="dxa"/>
          </w:tcPr>
          <w:p w:rsidR="008432B8" w:rsidRPr="00D406C7" w:rsidRDefault="00D406C7">
            <w:pPr>
              <w:rPr>
                <w:rFonts w:ascii="Arial" w:hAnsi="Arial" w:cs="Arial"/>
                <w:sz w:val="20"/>
                <w:szCs w:val="20"/>
              </w:rPr>
            </w:pPr>
            <w:r w:rsidRPr="00D406C7">
              <w:rPr>
                <w:rFonts w:ascii="Arial" w:hAnsi="Arial" w:cs="Arial"/>
                <w:sz w:val="20"/>
                <w:szCs w:val="20"/>
              </w:rPr>
              <w:t xml:space="preserve">Direct referral by GP to exercise on prescription, Live well programme and books on prescription. </w:t>
            </w:r>
            <w:r w:rsidR="00C34833">
              <w:rPr>
                <w:rFonts w:ascii="Arial" w:hAnsi="Arial" w:cs="Arial"/>
                <w:sz w:val="20"/>
                <w:szCs w:val="20"/>
              </w:rPr>
              <w:t xml:space="preserve">This was seen as the most pragmatic approach and is funded by public health. </w:t>
            </w:r>
          </w:p>
        </w:tc>
      </w:tr>
      <w:tr w:rsidR="008432B8" w:rsidTr="008432B8">
        <w:tc>
          <w:tcPr>
            <w:tcW w:w="3227" w:type="dxa"/>
          </w:tcPr>
          <w:p w:rsidR="008432B8" w:rsidRPr="00814282" w:rsidRDefault="00D406C7">
            <w:pPr>
              <w:rPr>
                <w:rFonts w:ascii="Arial" w:hAnsi="Arial" w:cs="Arial"/>
                <w:sz w:val="20"/>
                <w:szCs w:val="20"/>
              </w:rPr>
            </w:pPr>
            <w:r w:rsidRPr="00814282">
              <w:rPr>
                <w:rFonts w:ascii="Arial" w:hAnsi="Arial" w:cs="Arial"/>
                <w:sz w:val="20"/>
                <w:szCs w:val="20"/>
              </w:rPr>
              <w:t xml:space="preserve">Blackburn with Darwin </w:t>
            </w:r>
          </w:p>
        </w:tc>
        <w:tc>
          <w:tcPr>
            <w:tcW w:w="2693" w:type="dxa"/>
          </w:tcPr>
          <w:p w:rsidR="008432B8" w:rsidRPr="00814282" w:rsidRDefault="00D406C7">
            <w:pPr>
              <w:rPr>
                <w:rFonts w:ascii="Arial" w:hAnsi="Arial" w:cs="Arial"/>
                <w:sz w:val="20"/>
                <w:szCs w:val="20"/>
              </w:rPr>
            </w:pPr>
            <w:r w:rsidRPr="00814282">
              <w:rPr>
                <w:rFonts w:ascii="Arial" w:hAnsi="Arial" w:cs="Arial"/>
                <w:sz w:val="20"/>
                <w:szCs w:val="20"/>
              </w:rPr>
              <w:t xml:space="preserve">Volunteering on prescription </w:t>
            </w:r>
            <w:r w:rsidR="00C34833" w:rsidRPr="00814282">
              <w:rPr>
                <w:rFonts w:ascii="Arial" w:hAnsi="Arial" w:cs="Arial"/>
                <w:sz w:val="20"/>
                <w:szCs w:val="20"/>
              </w:rPr>
              <w:t>with project officer, care navigator and recovery support officers</w:t>
            </w:r>
          </w:p>
        </w:tc>
        <w:tc>
          <w:tcPr>
            <w:tcW w:w="8254" w:type="dxa"/>
          </w:tcPr>
          <w:p w:rsidR="008432B8" w:rsidRDefault="00D406C7">
            <w:pPr>
              <w:rPr>
                <w:rFonts w:ascii="Arial" w:hAnsi="Arial" w:cs="Arial"/>
              </w:rPr>
            </w:pPr>
            <w:r>
              <w:rPr>
                <w:rFonts w:ascii="Arial" w:hAnsi="Arial" w:cs="Arial"/>
              </w:rPr>
              <w:t xml:space="preserve">GP, social care or other council teams </w:t>
            </w:r>
            <w:proofErr w:type="gramStart"/>
            <w:r w:rsidR="00C34833">
              <w:rPr>
                <w:rFonts w:ascii="Arial" w:hAnsi="Arial" w:cs="Arial"/>
              </w:rPr>
              <w:t xml:space="preserve">refer  </w:t>
            </w:r>
            <w:r>
              <w:rPr>
                <w:rFonts w:ascii="Arial" w:hAnsi="Arial" w:cs="Arial"/>
              </w:rPr>
              <w:t>to</w:t>
            </w:r>
            <w:proofErr w:type="gramEnd"/>
            <w:r>
              <w:rPr>
                <w:rFonts w:ascii="Arial" w:hAnsi="Arial" w:cs="Arial"/>
              </w:rPr>
              <w:t xml:space="preserve"> CVS led 2 social prescribing volunteering scheme. One programme is aimed at people with drug and alcohol and the other is for people with mental health problems. </w:t>
            </w:r>
          </w:p>
          <w:p w:rsidR="009F1E90" w:rsidRDefault="009F1E90">
            <w:pPr>
              <w:rPr>
                <w:rFonts w:ascii="Arial" w:hAnsi="Arial" w:cs="Arial"/>
              </w:rPr>
            </w:pPr>
            <w:r>
              <w:rPr>
                <w:rFonts w:ascii="Arial" w:hAnsi="Arial" w:cs="Arial"/>
              </w:rPr>
              <w:t xml:space="preserve">Project officers link them with the most appropriate volunteering opportunity with the help of community navigator or recovery support officer </w:t>
            </w:r>
          </w:p>
        </w:tc>
      </w:tr>
      <w:tr w:rsidR="008432B8" w:rsidTr="008432B8">
        <w:tc>
          <w:tcPr>
            <w:tcW w:w="3227" w:type="dxa"/>
          </w:tcPr>
          <w:p w:rsidR="008432B8" w:rsidRPr="00814282" w:rsidRDefault="008873D0">
            <w:pPr>
              <w:rPr>
                <w:rFonts w:ascii="Arial" w:hAnsi="Arial" w:cs="Arial"/>
                <w:sz w:val="20"/>
                <w:szCs w:val="20"/>
              </w:rPr>
            </w:pPr>
            <w:r w:rsidRPr="00814282">
              <w:rPr>
                <w:rFonts w:ascii="Arial" w:hAnsi="Arial" w:cs="Arial"/>
                <w:sz w:val="20"/>
                <w:szCs w:val="20"/>
              </w:rPr>
              <w:t xml:space="preserve">Luton Council </w:t>
            </w:r>
          </w:p>
        </w:tc>
        <w:tc>
          <w:tcPr>
            <w:tcW w:w="2693" w:type="dxa"/>
          </w:tcPr>
          <w:p w:rsidR="008432B8" w:rsidRPr="00814282" w:rsidRDefault="008873D0">
            <w:pPr>
              <w:rPr>
                <w:rFonts w:ascii="Arial" w:hAnsi="Arial" w:cs="Arial"/>
                <w:sz w:val="20"/>
                <w:szCs w:val="20"/>
              </w:rPr>
            </w:pPr>
            <w:r w:rsidRPr="00814282">
              <w:rPr>
                <w:rFonts w:ascii="Arial" w:hAnsi="Arial" w:cs="Arial"/>
                <w:sz w:val="20"/>
                <w:szCs w:val="20"/>
              </w:rPr>
              <w:t>In house social prescribing using the existing infrastructure in place – exercise on referral, volunteering. Care navigators were employed.</w:t>
            </w:r>
            <w:r w:rsidR="009F1E90" w:rsidRPr="00814282">
              <w:rPr>
                <w:rFonts w:ascii="Arial" w:hAnsi="Arial" w:cs="Arial"/>
                <w:sz w:val="20"/>
                <w:szCs w:val="20"/>
              </w:rPr>
              <w:t xml:space="preserve"> The programme is funded by public health, better care fund and DCLG</w:t>
            </w:r>
          </w:p>
        </w:tc>
        <w:tc>
          <w:tcPr>
            <w:tcW w:w="8254" w:type="dxa"/>
          </w:tcPr>
          <w:p w:rsidR="008432B8" w:rsidRDefault="008873D0">
            <w:pPr>
              <w:rPr>
                <w:rFonts w:ascii="Arial" w:hAnsi="Arial" w:cs="Arial"/>
              </w:rPr>
            </w:pPr>
            <w:r>
              <w:rPr>
                <w:rFonts w:ascii="Arial" w:hAnsi="Arial" w:cs="Arial"/>
              </w:rPr>
              <w:t>GPs refer to community navigator with patients setting on the goals and preference activities and the navigator</w:t>
            </w:r>
            <w:r w:rsidR="009F1E90">
              <w:rPr>
                <w:rFonts w:ascii="Arial" w:hAnsi="Arial" w:cs="Arial"/>
              </w:rPr>
              <w:t xml:space="preserve">s arrange 12 week prescription. Patients are given smart cards which they scan when they attend activities so hat the progress can be tracked and measured. The patient returns to community navigator after 12 weeks to have an assessment and progress towards self-care. </w:t>
            </w:r>
          </w:p>
          <w:p w:rsidR="009F1E90" w:rsidRDefault="009F1E90">
            <w:pPr>
              <w:rPr>
                <w:rFonts w:ascii="Arial" w:hAnsi="Arial" w:cs="Arial"/>
              </w:rPr>
            </w:pPr>
            <w:r>
              <w:rPr>
                <w:rFonts w:ascii="Arial" w:hAnsi="Arial" w:cs="Arial"/>
              </w:rPr>
              <w:t xml:space="preserve">The programme now has 20 accredited providers covering 5 areas- social activity, volunteering, physical activity, wellbeing and mental health, information </w:t>
            </w:r>
            <w:proofErr w:type="gramStart"/>
            <w:r>
              <w:rPr>
                <w:rFonts w:ascii="Arial" w:hAnsi="Arial" w:cs="Arial"/>
              </w:rPr>
              <w:t>advise</w:t>
            </w:r>
            <w:proofErr w:type="gramEnd"/>
            <w:r>
              <w:rPr>
                <w:rFonts w:ascii="Arial" w:hAnsi="Arial" w:cs="Arial"/>
              </w:rPr>
              <w:t xml:space="preserve"> and guidance.</w:t>
            </w:r>
          </w:p>
          <w:p w:rsidR="009F1E90" w:rsidRDefault="009F1E90">
            <w:pPr>
              <w:rPr>
                <w:rFonts w:ascii="Arial" w:hAnsi="Arial" w:cs="Arial"/>
              </w:rPr>
            </w:pPr>
            <w:r>
              <w:rPr>
                <w:rFonts w:ascii="Arial" w:hAnsi="Arial" w:cs="Arial"/>
              </w:rPr>
              <w:lastRenderedPageBreak/>
              <w:t xml:space="preserve">Some of he services are run by the Council and some run by external organisations. </w:t>
            </w:r>
          </w:p>
        </w:tc>
      </w:tr>
      <w:tr w:rsidR="00C34833" w:rsidTr="008432B8">
        <w:tc>
          <w:tcPr>
            <w:tcW w:w="3227" w:type="dxa"/>
          </w:tcPr>
          <w:p w:rsidR="00C34833" w:rsidRPr="00814282" w:rsidRDefault="00C34833">
            <w:pPr>
              <w:rPr>
                <w:rFonts w:ascii="Arial" w:hAnsi="Arial" w:cs="Arial"/>
                <w:sz w:val="20"/>
                <w:szCs w:val="20"/>
              </w:rPr>
            </w:pPr>
            <w:r w:rsidRPr="00814282">
              <w:rPr>
                <w:rFonts w:ascii="Arial" w:hAnsi="Arial" w:cs="Arial"/>
                <w:sz w:val="20"/>
                <w:szCs w:val="20"/>
              </w:rPr>
              <w:lastRenderedPageBreak/>
              <w:t xml:space="preserve">Rotherham </w:t>
            </w:r>
          </w:p>
        </w:tc>
        <w:tc>
          <w:tcPr>
            <w:tcW w:w="2693" w:type="dxa"/>
          </w:tcPr>
          <w:p w:rsidR="00C34833" w:rsidRPr="00814282" w:rsidRDefault="00C34833">
            <w:pPr>
              <w:rPr>
                <w:rFonts w:ascii="Arial" w:hAnsi="Arial" w:cs="Arial"/>
                <w:sz w:val="20"/>
                <w:szCs w:val="20"/>
              </w:rPr>
            </w:pPr>
            <w:r w:rsidRPr="00814282">
              <w:rPr>
                <w:rFonts w:ascii="Arial" w:hAnsi="Arial" w:cs="Arial"/>
                <w:sz w:val="20"/>
                <w:szCs w:val="20"/>
              </w:rPr>
              <w:t xml:space="preserve">Voluntary Action Rotherham </w:t>
            </w:r>
            <w:r w:rsidR="005A6AE2" w:rsidRPr="00814282">
              <w:rPr>
                <w:rFonts w:ascii="Arial" w:hAnsi="Arial" w:cs="Arial"/>
                <w:sz w:val="20"/>
                <w:szCs w:val="20"/>
              </w:rPr>
              <w:t xml:space="preserve">in partnership with 20 organisations </w:t>
            </w:r>
            <w:r w:rsidRPr="00814282">
              <w:rPr>
                <w:rFonts w:ascii="Arial" w:hAnsi="Arial" w:cs="Arial"/>
                <w:sz w:val="20"/>
                <w:szCs w:val="20"/>
              </w:rPr>
              <w:t>have five social prescribing workers</w:t>
            </w:r>
            <w:r w:rsidR="005A6AE2" w:rsidRPr="00814282">
              <w:rPr>
                <w:rFonts w:ascii="Arial" w:hAnsi="Arial" w:cs="Arial"/>
                <w:sz w:val="20"/>
                <w:szCs w:val="20"/>
              </w:rPr>
              <w:t xml:space="preserve"> funded by CCG </w:t>
            </w:r>
          </w:p>
        </w:tc>
        <w:tc>
          <w:tcPr>
            <w:tcW w:w="8254" w:type="dxa"/>
          </w:tcPr>
          <w:p w:rsidR="00C34833" w:rsidRDefault="00C34833">
            <w:pPr>
              <w:rPr>
                <w:rFonts w:ascii="Arial" w:hAnsi="Arial" w:cs="Arial"/>
              </w:rPr>
            </w:pPr>
            <w:r>
              <w:rPr>
                <w:rFonts w:ascii="Arial" w:hAnsi="Arial" w:cs="Arial"/>
              </w:rPr>
              <w:t xml:space="preserve">Integrated case management led by GPs and including social workers and other health professionals refer to social prescribing workers. </w:t>
            </w:r>
          </w:p>
          <w:p w:rsidR="005A6AE2" w:rsidRDefault="005A6AE2">
            <w:pPr>
              <w:rPr>
                <w:rFonts w:ascii="Arial" w:hAnsi="Arial" w:cs="Arial"/>
              </w:rPr>
            </w:pPr>
            <w:r>
              <w:rPr>
                <w:rFonts w:ascii="Arial" w:hAnsi="Arial" w:cs="Arial"/>
              </w:rPr>
              <w:t xml:space="preserve">The social prescribing worker visits the patient at their home to carry out a guided conversation with the patient and work out what prescription to offer. He prescription can </w:t>
            </w:r>
            <w:r w:rsidR="00E40F7E">
              <w:rPr>
                <w:rFonts w:ascii="Arial" w:hAnsi="Arial" w:cs="Arial"/>
              </w:rPr>
              <w:t xml:space="preserve">be anything between 8-16 weeks which can include a range of activities such as metalwork clubs for </w:t>
            </w:r>
            <w:proofErr w:type="gramStart"/>
            <w:r w:rsidR="00E40F7E">
              <w:rPr>
                <w:rFonts w:ascii="Arial" w:hAnsi="Arial" w:cs="Arial"/>
              </w:rPr>
              <w:t>men ,</w:t>
            </w:r>
            <w:proofErr w:type="gramEnd"/>
            <w:r w:rsidR="00E40F7E">
              <w:rPr>
                <w:rFonts w:ascii="Arial" w:hAnsi="Arial" w:cs="Arial"/>
              </w:rPr>
              <w:t xml:space="preserve"> range of exercise clubs. Patients can continue with activity after the prescription ends. </w:t>
            </w:r>
          </w:p>
        </w:tc>
      </w:tr>
      <w:tr w:rsidR="00C34833" w:rsidTr="008432B8">
        <w:tc>
          <w:tcPr>
            <w:tcW w:w="3227" w:type="dxa"/>
          </w:tcPr>
          <w:p w:rsidR="00C34833" w:rsidRPr="00814282" w:rsidRDefault="00BC08BD">
            <w:pPr>
              <w:rPr>
                <w:rFonts w:ascii="Arial" w:hAnsi="Arial" w:cs="Arial"/>
                <w:sz w:val="20"/>
                <w:szCs w:val="20"/>
              </w:rPr>
            </w:pPr>
            <w:r w:rsidRPr="00814282">
              <w:rPr>
                <w:rFonts w:ascii="Arial" w:hAnsi="Arial" w:cs="Arial"/>
                <w:sz w:val="20"/>
                <w:szCs w:val="20"/>
              </w:rPr>
              <w:t>Cotswold District Council</w:t>
            </w:r>
          </w:p>
        </w:tc>
        <w:tc>
          <w:tcPr>
            <w:tcW w:w="2693" w:type="dxa"/>
          </w:tcPr>
          <w:p w:rsidR="00C34833" w:rsidRPr="00814282" w:rsidRDefault="00C34833">
            <w:pPr>
              <w:rPr>
                <w:rFonts w:ascii="Arial" w:hAnsi="Arial" w:cs="Arial"/>
                <w:sz w:val="20"/>
                <w:szCs w:val="20"/>
              </w:rPr>
            </w:pPr>
          </w:p>
        </w:tc>
        <w:tc>
          <w:tcPr>
            <w:tcW w:w="8254" w:type="dxa"/>
          </w:tcPr>
          <w:p w:rsidR="00C34833" w:rsidRDefault="00C34833">
            <w:pPr>
              <w:rPr>
                <w:rFonts w:ascii="Arial" w:hAnsi="Arial" w:cs="Arial"/>
              </w:rPr>
            </w:pPr>
          </w:p>
        </w:tc>
      </w:tr>
      <w:tr w:rsidR="00C34833" w:rsidTr="008432B8">
        <w:tc>
          <w:tcPr>
            <w:tcW w:w="3227" w:type="dxa"/>
          </w:tcPr>
          <w:p w:rsidR="00C34833" w:rsidRPr="00814282" w:rsidRDefault="00BC08BD">
            <w:pPr>
              <w:rPr>
                <w:rFonts w:ascii="Arial" w:hAnsi="Arial" w:cs="Arial"/>
                <w:sz w:val="20"/>
                <w:szCs w:val="20"/>
              </w:rPr>
            </w:pPr>
            <w:r w:rsidRPr="00814282">
              <w:rPr>
                <w:rFonts w:ascii="Arial" w:hAnsi="Arial" w:cs="Arial"/>
                <w:sz w:val="20"/>
                <w:szCs w:val="20"/>
              </w:rPr>
              <w:t xml:space="preserve">Tower Hamlets </w:t>
            </w:r>
          </w:p>
        </w:tc>
        <w:tc>
          <w:tcPr>
            <w:tcW w:w="2693" w:type="dxa"/>
          </w:tcPr>
          <w:p w:rsidR="00C34833" w:rsidRPr="00814282" w:rsidRDefault="00C93417" w:rsidP="00C93417">
            <w:pPr>
              <w:rPr>
                <w:rFonts w:ascii="Arial" w:hAnsi="Arial" w:cs="Arial"/>
                <w:sz w:val="20"/>
                <w:szCs w:val="20"/>
              </w:rPr>
            </w:pPr>
            <w:r w:rsidRPr="00814282">
              <w:rPr>
                <w:rFonts w:ascii="Arial" w:hAnsi="Arial" w:cs="Arial"/>
                <w:sz w:val="20"/>
                <w:szCs w:val="20"/>
              </w:rPr>
              <w:t xml:space="preserve"> Tower Hamlets has a history of providing social prescribing in two GP practices, the Bromley-by-Bow Centre and the Mission Practice. In 2016, Tower Hamlets Clinical Commissioning Group funded an 18 month roll-out of social prescribing across the borough with the local GP federation, Tower Hamlets GP Care Group, acting as lead provider organisation. The service is delivered by 10 Social Prescribers (9 WTE) through Tower Hamlet’s 8 GP Networks. Each GP </w:t>
            </w:r>
            <w:r w:rsidRPr="00814282">
              <w:rPr>
                <w:rFonts w:ascii="Arial" w:hAnsi="Arial" w:cs="Arial"/>
                <w:sz w:val="20"/>
                <w:szCs w:val="20"/>
              </w:rPr>
              <w:lastRenderedPageBreak/>
              <w:t>practice has a named Social Prescriber.</w:t>
            </w:r>
          </w:p>
        </w:tc>
        <w:tc>
          <w:tcPr>
            <w:tcW w:w="8254" w:type="dxa"/>
          </w:tcPr>
          <w:p w:rsidR="00C34833" w:rsidRDefault="00C93417">
            <w:pPr>
              <w:rPr>
                <w:rFonts w:ascii="Arial" w:hAnsi="Arial" w:cs="Arial"/>
              </w:rPr>
            </w:pPr>
            <w:r w:rsidRPr="00C93417">
              <w:rPr>
                <w:rFonts w:ascii="Arial" w:hAnsi="Arial" w:cs="Arial"/>
              </w:rPr>
              <w:lastRenderedPageBreak/>
              <w:t xml:space="preserve">The range of needs Social Prescribers have supported clients with demonstrates how holistic the service is (for example, 24% clients presented with weight management issues,1 21% with low level mental health needs, 16% with social isolation, 13% with housing issues and 13% with financial concerns) and the high number of onward referrals and signposts (2,034) to a large range of organisations (333 activities across 279 organisations) in the borough highlights the breadth of services available to primary care users through social prescribing. Nearly </w:t>
            </w:r>
            <w:proofErr w:type="gramStart"/>
            <w:r w:rsidRPr="00C93417">
              <w:rPr>
                <w:rFonts w:ascii="Arial" w:hAnsi="Arial" w:cs="Arial"/>
              </w:rPr>
              <w:t>a quarter (22%) of clients receiving an onward referral or signpost were</w:t>
            </w:r>
            <w:proofErr w:type="gramEnd"/>
            <w:r w:rsidRPr="00C93417">
              <w:rPr>
                <w:rFonts w:ascii="Arial" w:hAnsi="Arial" w:cs="Arial"/>
              </w:rPr>
              <w:t xml:space="preserve"> given 3 or more referrals.</w:t>
            </w:r>
          </w:p>
        </w:tc>
      </w:tr>
      <w:tr w:rsidR="00BC08BD" w:rsidTr="008432B8">
        <w:tc>
          <w:tcPr>
            <w:tcW w:w="3227" w:type="dxa"/>
          </w:tcPr>
          <w:p w:rsidR="00BC08BD" w:rsidRPr="00814282" w:rsidRDefault="00C93417">
            <w:pPr>
              <w:rPr>
                <w:rFonts w:ascii="Arial" w:hAnsi="Arial" w:cs="Arial"/>
                <w:sz w:val="20"/>
                <w:szCs w:val="20"/>
              </w:rPr>
            </w:pPr>
            <w:r w:rsidRPr="00814282">
              <w:rPr>
                <w:rFonts w:ascii="Arial" w:hAnsi="Arial" w:cs="Arial"/>
                <w:sz w:val="20"/>
                <w:szCs w:val="20"/>
              </w:rPr>
              <w:lastRenderedPageBreak/>
              <w:t xml:space="preserve">Merton </w:t>
            </w:r>
          </w:p>
        </w:tc>
        <w:tc>
          <w:tcPr>
            <w:tcW w:w="2693" w:type="dxa"/>
          </w:tcPr>
          <w:p w:rsidR="00BC08BD" w:rsidRPr="00814282" w:rsidRDefault="00C93417">
            <w:pPr>
              <w:rPr>
                <w:rFonts w:ascii="Arial" w:hAnsi="Arial" w:cs="Arial"/>
                <w:sz w:val="20"/>
                <w:szCs w:val="20"/>
              </w:rPr>
            </w:pPr>
            <w:r w:rsidRPr="00814282">
              <w:rPr>
                <w:rFonts w:ascii="Arial" w:hAnsi="Arial" w:cs="Arial"/>
                <w:sz w:val="20"/>
                <w:szCs w:val="20"/>
              </w:rPr>
              <w:t xml:space="preserve">CCG and Public health funded a pilot with 2 GP practices with link worker at each practice. </w:t>
            </w:r>
          </w:p>
          <w:p w:rsidR="00814282" w:rsidRPr="00814282" w:rsidRDefault="00814282">
            <w:pPr>
              <w:rPr>
                <w:rFonts w:ascii="Arial" w:hAnsi="Arial" w:cs="Arial"/>
                <w:sz w:val="20"/>
                <w:szCs w:val="20"/>
              </w:rPr>
            </w:pPr>
            <w:r w:rsidRPr="00814282">
              <w:rPr>
                <w:rFonts w:ascii="Arial" w:hAnsi="Arial" w:cs="Arial"/>
                <w:sz w:val="20"/>
                <w:szCs w:val="20"/>
                <w:lang w:val="en"/>
              </w:rPr>
              <w:t xml:space="preserve">The existing service model involves employing a ‘link worker’ known as a Social Prescribing Navigator working at each respective practice two days a week. The link worker is visible to the primary care team, and encouraged to be seen as a fully integrated member of the practice team. The post holder has been given appropriate training on EMIS, and has a wealth of local knowledge about services available in the community, as well as strong links to community and volunteer </w:t>
            </w:r>
            <w:proofErr w:type="spellStart"/>
            <w:r w:rsidRPr="00814282">
              <w:rPr>
                <w:rFonts w:ascii="Arial" w:hAnsi="Arial" w:cs="Arial"/>
                <w:sz w:val="20"/>
                <w:szCs w:val="20"/>
                <w:lang w:val="en"/>
              </w:rPr>
              <w:t>organisations</w:t>
            </w:r>
            <w:proofErr w:type="spellEnd"/>
            <w:r w:rsidRPr="00814282">
              <w:rPr>
                <w:rFonts w:ascii="Arial" w:hAnsi="Arial" w:cs="Arial"/>
                <w:sz w:val="20"/>
                <w:szCs w:val="20"/>
                <w:lang w:val="en"/>
              </w:rPr>
              <w:t>. The post holder is an employee of Merton Voluntary Service Council (MVSC) and is supported by this</w:t>
            </w:r>
            <w:r w:rsidR="000C5F18">
              <w:rPr>
                <w:rFonts w:ascii="Arial" w:hAnsi="Arial" w:cs="Arial"/>
                <w:sz w:val="20"/>
                <w:szCs w:val="20"/>
                <w:lang w:val="en"/>
              </w:rPr>
              <w:t xml:space="preserve"> </w:t>
            </w:r>
            <w:proofErr w:type="spellStart"/>
            <w:r w:rsidRPr="00814282">
              <w:rPr>
                <w:rFonts w:ascii="Arial" w:hAnsi="Arial" w:cs="Arial"/>
                <w:sz w:val="20"/>
                <w:szCs w:val="20"/>
                <w:lang w:val="en"/>
              </w:rPr>
              <w:t>organisation</w:t>
            </w:r>
            <w:proofErr w:type="spellEnd"/>
          </w:p>
        </w:tc>
        <w:tc>
          <w:tcPr>
            <w:tcW w:w="8254" w:type="dxa"/>
          </w:tcPr>
          <w:p w:rsidR="00C93417" w:rsidRPr="00C93417" w:rsidRDefault="00C93417" w:rsidP="00C93417">
            <w:pPr>
              <w:spacing w:after="0"/>
              <w:rPr>
                <w:rFonts w:ascii="Arial" w:hAnsi="Arial" w:cs="Arial"/>
                <w:sz w:val="20"/>
                <w:szCs w:val="20"/>
                <w:lang w:val="en"/>
              </w:rPr>
            </w:pPr>
            <w:r w:rsidRPr="00C93417">
              <w:rPr>
                <w:rFonts w:ascii="Arial" w:hAnsi="Arial" w:cs="Arial"/>
                <w:sz w:val="20"/>
                <w:szCs w:val="20"/>
                <w:lang w:val="en"/>
              </w:rPr>
              <w:t xml:space="preserve">The referral is made when a GP refers a patient to the service and the Social Prescribing Navigator books a one-hour initial consultation. At this consultation the navigator offers strategies to self-manage the patient’s problems by either: </w:t>
            </w:r>
          </w:p>
          <w:p w:rsidR="00C93417" w:rsidRPr="00C93417" w:rsidRDefault="00C93417" w:rsidP="00C93417">
            <w:pPr>
              <w:spacing w:after="0"/>
              <w:rPr>
                <w:rFonts w:ascii="Arial" w:hAnsi="Arial" w:cs="Arial"/>
                <w:sz w:val="20"/>
                <w:szCs w:val="20"/>
                <w:lang w:val="en"/>
              </w:rPr>
            </w:pPr>
            <w:r w:rsidRPr="00C93417">
              <w:rPr>
                <w:rFonts w:ascii="Arial" w:hAnsi="Arial" w:cs="Arial"/>
                <w:sz w:val="20"/>
                <w:szCs w:val="20"/>
                <w:lang w:val="en"/>
              </w:rPr>
              <w:t xml:space="preserve">1)     Sign posting – directing patients to non-clinical services / self-directed advice; </w:t>
            </w:r>
          </w:p>
          <w:p w:rsidR="00C93417" w:rsidRPr="00C93417" w:rsidRDefault="00C93417" w:rsidP="00C93417">
            <w:pPr>
              <w:spacing w:after="0"/>
              <w:rPr>
                <w:rFonts w:ascii="Arial" w:hAnsi="Arial" w:cs="Arial"/>
                <w:sz w:val="20"/>
                <w:szCs w:val="20"/>
                <w:lang w:val="en"/>
              </w:rPr>
            </w:pPr>
            <w:r w:rsidRPr="00C93417">
              <w:rPr>
                <w:rFonts w:ascii="Arial" w:hAnsi="Arial" w:cs="Arial"/>
                <w:sz w:val="20"/>
                <w:szCs w:val="20"/>
                <w:lang w:val="en"/>
              </w:rPr>
              <w:t xml:space="preserve">2)     1:1 Assessment service where needs are complex. </w:t>
            </w:r>
          </w:p>
          <w:p w:rsidR="00C93417" w:rsidRPr="00C93417" w:rsidRDefault="00C93417" w:rsidP="00C93417">
            <w:pPr>
              <w:spacing w:after="0"/>
              <w:rPr>
                <w:rFonts w:ascii="Arial" w:hAnsi="Arial" w:cs="Arial"/>
                <w:sz w:val="20"/>
                <w:szCs w:val="20"/>
                <w:lang w:val="en"/>
              </w:rPr>
            </w:pPr>
            <w:r w:rsidRPr="00C93417">
              <w:rPr>
                <w:rFonts w:ascii="Arial" w:hAnsi="Arial" w:cs="Arial"/>
                <w:sz w:val="20"/>
                <w:szCs w:val="20"/>
                <w:lang w:val="en"/>
              </w:rPr>
              <w:t xml:space="preserve">3)     Assisting with form filling, benefits eligibility checks, and initial engagement in counselling.  </w:t>
            </w:r>
          </w:p>
          <w:p w:rsidR="00C93417" w:rsidRPr="00C93417" w:rsidRDefault="00C93417" w:rsidP="00C93417">
            <w:pPr>
              <w:spacing w:after="0"/>
              <w:rPr>
                <w:rFonts w:ascii="Arial" w:hAnsi="Arial" w:cs="Arial"/>
                <w:sz w:val="20"/>
                <w:szCs w:val="20"/>
                <w:lang w:val="en"/>
              </w:rPr>
            </w:pPr>
            <w:r w:rsidRPr="00C93417">
              <w:rPr>
                <w:rFonts w:ascii="Arial" w:hAnsi="Arial" w:cs="Arial"/>
                <w:sz w:val="20"/>
                <w:szCs w:val="20"/>
                <w:lang w:val="en"/>
              </w:rPr>
              <w:t xml:space="preserve">Some other interventions include: </w:t>
            </w:r>
          </w:p>
          <w:p w:rsidR="00C93417" w:rsidRPr="00C93417" w:rsidRDefault="00C93417" w:rsidP="00C93417">
            <w:pPr>
              <w:spacing w:after="0"/>
              <w:rPr>
                <w:rFonts w:ascii="Arial" w:hAnsi="Arial" w:cs="Arial"/>
                <w:sz w:val="20"/>
                <w:szCs w:val="20"/>
                <w:lang w:val="en"/>
              </w:rPr>
            </w:pPr>
            <w:r w:rsidRPr="00C93417">
              <w:rPr>
                <w:rFonts w:ascii="Arial" w:hAnsi="Arial" w:cs="Arial"/>
                <w:sz w:val="20"/>
                <w:szCs w:val="20"/>
                <w:lang w:val="en"/>
              </w:rPr>
              <w:t xml:space="preserve">1)     Improving stability of home and family life; </w:t>
            </w:r>
          </w:p>
          <w:p w:rsidR="00C93417" w:rsidRPr="00C93417" w:rsidRDefault="00C93417" w:rsidP="00C93417">
            <w:pPr>
              <w:spacing w:after="0"/>
              <w:rPr>
                <w:rFonts w:ascii="Arial" w:hAnsi="Arial" w:cs="Arial"/>
                <w:sz w:val="20"/>
                <w:szCs w:val="20"/>
                <w:lang w:val="en"/>
              </w:rPr>
            </w:pPr>
            <w:r w:rsidRPr="00C93417">
              <w:rPr>
                <w:rFonts w:ascii="Arial" w:hAnsi="Arial" w:cs="Arial"/>
                <w:sz w:val="20"/>
                <w:szCs w:val="20"/>
                <w:lang w:val="en"/>
              </w:rPr>
              <w:t xml:space="preserve">2)     Promoting better mental health and resilience;  </w:t>
            </w:r>
          </w:p>
          <w:p w:rsidR="00C93417" w:rsidRPr="00C93417" w:rsidRDefault="00C93417" w:rsidP="00C93417">
            <w:pPr>
              <w:spacing w:after="0"/>
              <w:rPr>
                <w:rFonts w:ascii="Arial" w:hAnsi="Arial" w:cs="Arial"/>
                <w:sz w:val="20"/>
                <w:szCs w:val="20"/>
                <w:lang w:val="en"/>
              </w:rPr>
            </w:pPr>
            <w:r w:rsidRPr="00C93417">
              <w:rPr>
                <w:rFonts w:ascii="Arial" w:hAnsi="Arial" w:cs="Arial"/>
                <w:sz w:val="20"/>
                <w:szCs w:val="20"/>
                <w:lang w:val="en"/>
              </w:rPr>
              <w:t xml:space="preserve">3)     Relationship guidance; </w:t>
            </w:r>
          </w:p>
          <w:p w:rsidR="00C93417" w:rsidRPr="00C93417" w:rsidRDefault="00C93417" w:rsidP="00C93417">
            <w:pPr>
              <w:spacing w:after="0"/>
              <w:rPr>
                <w:rFonts w:ascii="Arial" w:hAnsi="Arial" w:cs="Arial"/>
                <w:sz w:val="20"/>
                <w:szCs w:val="20"/>
                <w:lang w:val="en"/>
              </w:rPr>
            </w:pPr>
            <w:r w:rsidRPr="00C93417">
              <w:rPr>
                <w:rFonts w:ascii="Arial" w:hAnsi="Arial" w:cs="Arial"/>
                <w:sz w:val="20"/>
                <w:szCs w:val="20"/>
                <w:lang w:val="en"/>
              </w:rPr>
              <w:t xml:space="preserve">4)     Volunteering; </w:t>
            </w:r>
          </w:p>
          <w:p w:rsidR="00C93417" w:rsidRPr="00C93417" w:rsidRDefault="00C93417" w:rsidP="00C93417">
            <w:pPr>
              <w:spacing w:after="0"/>
              <w:rPr>
                <w:rFonts w:ascii="Arial" w:hAnsi="Arial" w:cs="Arial"/>
                <w:sz w:val="20"/>
                <w:szCs w:val="20"/>
                <w:lang w:val="en"/>
              </w:rPr>
            </w:pPr>
            <w:r w:rsidRPr="00C93417">
              <w:rPr>
                <w:rFonts w:ascii="Arial" w:hAnsi="Arial" w:cs="Arial"/>
                <w:sz w:val="20"/>
                <w:szCs w:val="20"/>
                <w:lang w:val="en"/>
              </w:rPr>
              <w:t xml:space="preserve">5)     Social connectedness to reduce isolation. </w:t>
            </w:r>
          </w:p>
          <w:p w:rsidR="00C93417" w:rsidRPr="00C93417" w:rsidRDefault="00C93417" w:rsidP="00C93417">
            <w:pPr>
              <w:rPr>
                <w:rFonts w:ascii="Arial" w:hAnsi="Arial" w:cs="Arial"/>
                <w:sz w:val="20"/>
                <w:szCs w:val="20"/>
                <w:lang w:val="en"/>
              </w:rPr>
            </w:pPr>
            <w:r w:rsidRPr="00C93417">
              <w:rPr>
                <w:rFonts w:ascii="Arial" w:hAnsi="Arial" w:cs="Arial"/>
                <w:sz w:val="20"/>
                <w:szCs w:val="20"/>
                <w:lang w:val="en"/>
              </w:rPr>
              <w:t xml:space="preserve">The patient is offered a follow-up appointment and the navigator records notes directly into the patient record. </w:t>
            </w:r>
          </w:p>
          <w:p w:rsidR="00BC08BD" w:rsidRDefault="00BC08BD" w:rsidP="00C93417">
            <w:pPr>
              <w:rPr>
                <w:rFonts w:ascii="Arial" w:hAnsi="Arial" w:cs="Arial"/>
              </w:rPr>
            </w:pPr>
          </w:p>
        </w:tc>
      </w:tr>
    </w:tbl>
    <w:p w:rsidR="008432B8" w:rsidRPr="007B7BAC" w:rsidRDefault="008432B8">
      <w:pPr>
        <w:rPr>
          <w:rFonts w:ascii="Arial" w:hAnsi="Arial" w:cs="Arial"/>
        </w:rPr>
      </w:pPr>
    </w:p>
    <w:sectPr w:rsidR="008432B8" w:rsidRPr="007B7BAC" w:rsidSect="008432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77BC"/>
    <w:multiLevelType w:val="hybridMultilevel"/>
    <w:tmpl w:val="7542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7024E0"/>
    <w:multiLevelType w:val="multilevel"/>
    <w:tmpl w:val="D6DAF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84500"/>
    <w:multiLevelType w:val="multilevel"/>
    <w:tmpl w:val="9EC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F1939"/>
    <w:multiLevelType w:val="hybridMultilevel"/>
    <w:tmpl w:val="A426B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B8"/>
    <w:rsid w:val="000C5F18"/>
    <w:rsid w:val="005A6AE2"/>
    <w:rsid w:val="00771618"/>
    <w:rsid w:val="007B7BAC"/>
    <w:rsid w:val="00814282"/>
    <w:rsid w:val="008365D9"/>
    <w:rsid w:val="008432B8"/>
    <w:rsid w:val="008873D0"/>
    <w:rsid w:val="009F1E90"/>
    <w:rsid w:val="00BC08BD"/>
    <w:rsid w:val="00C34833"/>
    <w:rsid w:val="00C93417"/>
    <w:rsid w:val="00D406C7"/>
    <w:rsid w:val="00D43587"/>
    <w:rsid w:val="00E4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41256">
      <w:bodyDiv w:val="1"/>
      <w:marLeft w:val="0"/>
      <w:marRight w:val="0"/>
      <w:marTop w:val="0"/>
      <w:marBottom w:val="0"/>
      <w:divBdr>
        <w:top w:val="none" w:sz="0" w:space="0" w:color="auto"/>
        <w:left w:val="none" w:sz="0" w:space="0" w:color="auto"/>
        <w:bottom w:val="none" w:sz="0" w:space="0" w:color="auto"/>
        <w:right w:val="none" w:sz="0" w:space="0" w:color="auto"/>
      </w:divBdr>
      <w:divsChild>
        <w:div w:id="248075431">
          <w:marLeft w:val="0"/>
          <w:marRight w:val="0"/>
          <w:marTop w:val="0"/>
          <w:marBottom w:val="0"/>
          <w:divBdr>
            <w:top w:val="none" w:sz="0" w:space="0" w:color="auto"/>
            <w:left w:val="none" w:sz="0" w:space="0" w:color="auto"/>
            <w:bottom w:val="none" w:sz="0" w:space="0" w:color="auto"/>
            <w:right w:val="none" w:sz="0" w:space="0" w:color="auto"/>
          </w:divBdr>
          <w:divsChild>
            <w:div w:id="1840923219">
              <w:marLeft w:val="0"/>
              <w:marRight w:val="0"/>
              <w:marTop w:val="75"/>
              <w:marBottom w:val="0"/>
              <w:divBdr>
                <w:top w:val="none" w:sz="0" w:space="0" w:color="auto"/>
                <w:left w:val="none" w:sz="0" w:space="0" w:color="auto"/>
                <w:bottom w:val="none" w:sz="0" w:space="0" w:color="auto"/>
                <w:right w:val="none" w:sz="0" w:space="0" w:color="auto"/>
              </w:divBdr>
              <w:divsChild>
                <w:div w:id="513156518">
                  <w:marLeft w:val="0"/>
                  <w:marRight w:val="0"/>
                  <w:marTop w:val="150"/>
                  <w:marBottom w:val="150"/>
                  <w:divBdr>
                    <w:top w:val="none" w:sz="0" w:space="0" w:color="auto"/>
                    <w:left w:val="none" w:sz="0" w:space="0" w:color="auto"/>
                    <w:bottom w:val="none" w:sz="0" w:space="0" w:color="auto"/>
                    <w:right w:val="none" w:sz="0" w:space="0" w:color="auto"/>
                  </w:divBdr>
                  <w:divsChild>
                    <w:div w:id="4822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39368">
      <w:bodyDiv w:val="1"/>
      <w:marLeft w:val="0"/>
      <w:marRight w:val="0"/>
      <w:marTop w:val="0"/>
      <w:marBottom w:val="0"/>
      <w:divBdr>
        <w:top w:val="none" w:sz="0" w:space="0" w:color="auto"/>
        <w:left w:val="none" w:sz="0" w:space="0" w:color="auto"/>
        <w:bottom w:val="none" w:sz="0" w:space="0" w:color="auto"/>
        <w:right w:val="none" w:sz="0" w:space="0" w:color="auto"/>
      </w:divBdr>
      <w:divsChild>
        <w:div w:id="625552849">
          <w:marLeft w:val="0"/>
          <w:marRight w:val="0"/>
          <w:marTop w:val="0"/>
          <w:marBottom w:val="0"/>
          <w:divBdr>
            <w:top w:val="none" w:sz="0" w:space="0" w:color="auto"/>
            <w:left w:val="none" w:sz="0" w:space="0" w:color="auto"/>
            <w:bottom w:val="none" w:sz="0" w:space="0" w:color="auto"/>
            <w:right w:val="none" w:sz="0" w:space="0" w:color="auto"/>
          </w:divBdr>
          <w:divsChild>
            <w:div w:id="224074344">
              <w:marLeft w:val="0"/>
              <w:marRight w:val="0"/>
              <w:marTop w:val="0"/>
              <w:marBottom w:val="0"/>
              <w:divBdr>
                <w:top w:val="none" w:sz="0" w:space="0" w:color="auto"/>
                <w:left w:val="none" w:sz="0" w:space="0" w:color="auto"/>
                <w:bottom w:val="none" w:sz="0" w:space="0" w:color="auto"/>
                <w:right w:val="none" w:sz="0" w:space="0" w:color="auto"/>
              </w:divBdr>
              <w:divsChild>
                <w:div w:id="1087843772">
                  <w:marLeft w:val="0"/>
                  <w:marRight w:val="0"/>
                  <w:marTop w:val="0"/>
                  <w:marBottom w:val="0"/>
                  <w:divBdr>
                    <w:top w:val="none" w:sz="0" w:space="0" w:color="auto"/>
                    <w:left w:val="none" w:sz="0" w:space="0" w:color="auto"/>
                    <w:bottom w:val="none" w:sz="0" w:space="0" w:color="auto"/>
                    <w:right w:val="none" w:sz="0" w:space="0" w:color="auto"/>
                  </w:divBdr>
                  <w:divsChild>
                    <w:div w:id="2025545036">
                      <w:marLeft w:val="0"/>
                      <w:marRight w:val="0"/>
                      <w:marTop w:val="0"/>
                      <w:marBottom w:val="0"/>
                      <w:divBdr>
                        <w:top w:val="none" w:sz="0" w:space="0" w:color="auto"/>
                        <w:left w:val="none" w:sz="0" w:space="0" w:color="auto"/>
                        <w:bottom w:val="none" w:sz="0" w:space="0" w:color="auto"/>
                        <w:right w:val="none" w:sz="0" w:space="0" w:color="auto"/>
                      </w:divBdr>
                      <w:divsChild>
                        <w:div w:id="14414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031744">
      <w:bodyDiv w:val="1"/>
      <w:marLeft w:val="0"/>
      <w:marRight w:val="0"/>
      <w:marTop w:val="0"/>
      <w:marBottom w:val="0"/>
      <w:divBdr>
        <w:top w:val="none" w:sz="0" w:space="0" w:color="auto"/>
        <w:left w:val="none" w:sz="0" w:space="0" w:color="auto"/>
        <w:bottom w:val="none" w:sz="0" w:space="0" w:color="auto"/>
        <w:right w:val="none" w:sz="0" w:space="0" w:color="auto"/>
      </w:divBdr>
      <w:divsChild>
        <w:div w:id="1919822602">
          <w:marLeft w:val="0"/>
          <w:marRight w:val="0"/>
          <w:marTop w:val="0"/>
          <w:marBottom w:val="0"/>
          <w:divBdr>
            <w:top w:val="none" w:sz="0" w:space="0" w:color="auto"/>
            <w:left w:val="none" w:sz="0" w:space="0" w:color="auto"/>
            <w:bottom w:val="none" w:sz="0" w:space="0" w:color="auto"/>
            <w:right w:val="none" w:sz="0" w:space="0" w:color="auto"/>
          </w:divBdr>
          <w:divsChild>
            <w:div w:id="1872065107">
              <w:marLeft w:val="0"/>
              <w:marRight w:val="0"/>
              <w:marTop w:val="0"/>
              <w:marBottom w:val="0"/>
              <w:divBdr>
                <w:top w:val="none" w:sz="0" w:space="0" w:color="auto"/>
                <w:left w:val="none" w:sz="0" w:space="0" w:color="auto"/>
                <w:bottom w:val="none" w:sz="0" w:space="0" w:color="auto"/>
                <w:right w:val="none" w:sz="0" w:space="0" w:color="auto"/>
              </w:divBdr>
              <w:divsChild>
                <w:div w:id="209651575">
                  <w:marLeft w:val="0"/>
                  <w:marRight w:val="0"/>
                  <w:marTop w:val="0"/>
                  <w:marBottom w:val="0"/>
                  <w:divBdr>
                    <w:top w:val="none" w:sz="0" w:space="0" w:color="auto"/>
                    <w:left w:val="none" w:sz="0" w:space="0" w:color="auto"/>
                    <w:bottom w:val="none" w:sz="0" w:space="0" w:color="auto"/>
                    <w:right w:val="none" w:sz="0" w:space="0" w:color="auto"/>
                  </w:divBdr>
                  <w:divsChild>
                    <w:div w:id="117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339">
      <w:bodyDiv w:val="1"/>
      <w:marLeft w:val="0"/>
      <w:marRight w:val="0"/>
      <w:marTop w:val="0"/>
      <w:marBottom w:val="0"/>
      <w:divBdr>
        <w:top w:val="none" w:sz="0" w:space="0" w:color="auto"/>
        <w:left w:val="none" w:sz="0" w:space="0" w:color="auto"/>
        <w:bottom w:val="none" w:sz="0" w:space="0" w:color="auto"/>
        <w:right w:val="none" w:sz="0" w:space="0" w:color="auto"/>
      </w:divBdr>
      <w:divsChild>
        <w:div w:id="1204949295">
          <w:marLeft w:val="0"/>
          <w:marRight w:val="0"/>
          <w:marTop w:val="0"/>
          <w:marBottom w:val="0"/>
          <w:divBdr>
            <w:top w:val="none" w:sz="0" w:space="0" w:color="auto"/>
            <w:left w:val="none" w:sz="0" w:space="0" w:color="auto"/>
            <w:bottom w:val="none" w:sz="0" w:space="0" w:color="auto"/>
            <w:right w:val="none" w:sz="0" w:space="0" w:color="auto"/>
          </w:divBdr>
          <w:divsChild>
            <w:div w:id="1450276230">
              <w:marLeft w:val="0"/>
              <w:marRight w:val="0"/>
              <w:marTop w:val="75"/>
              <w:marBottom w:val="0"/>
              <w:divBdr>
                <w:top w:val="none" w:sz="0" w:space="0" w:color="auto"/>
                <w:left w:val="none" w:sz="0" w:space="0" w:color="auto"/>
                <w:bottom w:val="none" w:sz="0" w:space="0" w:color="auto"/>
                <w:right w:val="none" w:sz="0" w:space="0" w:color="auto"/>
              </w:divBdr>
              <w:divsChild>
                <w:div w:id="89934405">
                  <w:marLeft w:val="0"/>
                  <w:marRight w:val="0"/>
                  <w:marTop w:val="150"/>
                  <w:marBottom w:val="150"/>
                  <w:divBdr>
                    <w:top w:val="none" w:sz="0" w:space="0" w:color="auto"/>
                    <w:left w:val="none" w:sz="0" w:space="0" w:color="auto"/>
                    <w:bottom w:val="none" w:sz="0" w:space="0" w:color="auto"/>
                    <w:right w:val="none" w:sz="0" w:space="0" w:color="auto"/>
                  </w:divBdr>
                  <w:divsChild>
                    <w:div w:id="20871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HShukla</dc:creator>
  <cp:lastModifiedBy>Miriam Wearing</cp:lastModifiedBy>
  <cp:revision>2</cp:revision>
  <dcterms:created xsi:type="dcterms:W3CDTF">2018-12-21T11:08:00Z</dcterms:created>
  <dcterms:modified xsi:type="dcterms:W3CDTF">2018-12-21T11:08:00Z</dcterms:modified>
</cp:coreProperties>
</file>